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93B0B" w14:textId="2C8E2D21"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86</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Pr="00143BAE">
        <w:rPr>
          <w:rFonts w:ascii="Arial" w:hAnsi="Arial" w:cs="Arial"/>
          <w:b/>
          <w:bCs/>
          <w:noProof/>
          <w:sz w:val="24"/>
          <w:szCs w:val="24"/>
        </w:rPr>
        <w:t>R1-</w:t>
      </w:r>
      <w:r w:rsidR="003A09DF">
        <w:rPr>
          <w:rFonts w:ascii="Arial" w:hAnsi="Arial" w:cs="Arial"/>
          <w:b/>
          <w:bCs/>
          <w:noProof/>
          <w:sz w:val="24"/>
          <w:szCs w:val="24"/>
        </w:rPr>
        <w:t>166962</w:t>
      </w:r>
    </w:p>
    <w:p w14:paraId="082ACD6C" w14:textId="77777777" w:rsidR="002A29DA" w:rsidRPr="00143BAE" w:rsidRDefault="002A29DA" w:rsidP="002A29DA">
      <w:pPr>
        <w:pStyle w:val="FootnoteText"/>
        <w:rPr>
          <w:rFonts w:ascii="Arial" w:hAnsi="Arial" w:cs="Arial"/>
          <w:b/>
          <w:bCs/>
          <w:noProof/>
          <w:sz w:val="24"/>
          <w:szCs w:val="24"/>
        </w:rPr>
      </w:pPr>
      <w:r w:rsidRPr="00143BAE">
        <w:rPr>
          <w:rFonts w:ascii="Arial" w:hAnsi="Arial" w:cs="Arial"/>
          <w:b/>
          <w:bCs/>
          <w:noProof/>
          <w:sz w:val="24"/>
          <w:szCs w:val="24"/>
        </w:rPr>
        <w:t>Gothenburg, Sweden, 22-26 August 2016</w:t>
      </w:r>
    </w:p>
    <w:p w14:paraId="6D175317" w14:textId="77777777" w:rsidR="002A29DA" w:rsidRPr="00143BAE" w:rsidRDefault="002A29DA" w:rsidP="002A29DA">
      <w:pPr>
        <w:pStyle w:val="FootnoteText"/>
        <w:rPr>
          <w:lang w:val="en-US"/>
        </w:rPr>
      </w:pPr>
    </w:p>
    <w:p w14:paraId="32DB95AA"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D095B6C" w14:textId="2B91C344"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Pr>
          <w:sz w:val="20"/>
          <w:lang w:val="en-US"/>
        </w:rPr>
        <w:t xml:space="preserve">Discussion on </w:t>
      </w:r>
      <w:r w:rsidR="00F844BD">
        <w:rPr>
          <w:sz w:val="20"/>
          <w:lang w:val="en-US"/>
        </w:rPr>
        <w:t>inter-PLMN V2x PC5 and Uu operation</w:t>
      </w:r>
    </w:p>
    <w:p w14:paraId="5B050EB5" w14:textId="7EAE37E1"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3A09DF">
        <w:rPr>
          <w:sz w:val="20"/>
          <w:lang w:val="en-US"/>
        </w:rPr>
        <w:t>7.2.3.3</w:t>
      </w:r>
    </w:p>
    <w:p w14:paraId="6C1212BD" w14:textId="77777777" w:rsidR="002A29DA" w:rsidRPr="007F1723"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bookmarkEnd w:id="0"/>
    <w:bookmarkEnd w:id="1"/>
    <w:p w14:paraId="0C65C676" w14:textId="77777777" w:rsidR="0078373C" w:rsidRPr="004306F8" w:rsidRDefault="00D77223" w:rsidP="004306F8">
      <w:pPr>
        <w:pStyle w:val="Heading1"/>
      </w:pPr>
      <w:r w:rsidRPr="007F1723">
        <w:t>Introduction</w:t>
      </w:r>
      <w:bookmarkEnd w:id="2"/>
    </w:p>
    <w:p w14:paraId="34BC874A" w14:textId="2BED6C84" w:rsidR="00E23C16" w:rsidRDefault="00E23C16" w:rsidP="00C26457">
      <w:pPr>
        <w:pStyle w:val="BodyText"/>
        <w:spacing w:after="240"/>
        <w:jc w:val="both"/>
        <w:rPr>
          <w:spacing w:val="2"/>
          <w:sz w:val="20"/>
          <w:szCs w:val="20"/>
        </w:rPr>
      </w:pPr>
      <w:r>
        <w:rPr>
          <w:spacing w:val="2"/>
          <w:sz w:val="20"/>
          <w:szCs w:val="20"/>
        </w:rPr>
        <w:t xml:space="preserve">In </w:t>
      </w:r>
      <w:r w:rsidR="00265532">
        <w:rPr>
          <w:spacing w:val="2"/>
          <w:sz w:val="20"/>
          <w:szCs w:val="20"/>
        </w:rPr>
        <w:t xml:space="preserve">this contribution we </w:t>
      </w:r>
      <w:r w:rsidR="00F844BD">
        <w:rPr>
          <w:spacing w:val="2"/>
          <w:sz w:val="20"/>
          <w:szCs w:val="20"/>
        </w:rPr>
        <w:t>discussion</w:t>
      </w:r>
      <w:r w:rsidR="00265532">
        <w:rPr>
          <w:spacing w:val="2"/>
          <w:sz w:val="20"/>
          <w:szCs w:val="20"/>
        </w:rPr>
        <w:t xml:space="preserve"> </w:t>
      </w:r>
      <w:r w:rsidR="00F844BD">
        <w:rPr>
          <w:spacing w:val="2"/>
          <w:sz w:val="20"/>
          <w:szCs w:val="20"/>
        </w:rPr>
        <w:t>inter-PLMN operation for V2x</w:t>
      </w:r>
      <w:r w:rsidR="00265532">
        <w:rPr>
          <w:spacing w:val="2"/>
          <w:sz w:val="20"/>
          <w:szCs w:val="20"/>
        </w:rPr>
        <w:t xml:space="preserve"> taking the indications by RAN plenary in WID RP-161298:</w:t>
      </w:r>
    </w:p>
    <w:p w14:paraId="524CA4A4" w14:textId="77777777" w:rsidR="001D7000" w:rsidRPr="004B6203" w:rsidRDefault="001D7000" w:rsidP="001D7000">
      <w:pPr>
        <w:numPr>
          <w:ilvl w:val="0"/>
          <w:numId w:val="29"/>
        </w:numPr>
        <w:overflowPunct w:val="0"/>
        <w:autoSpaceDE w:val="0"/>
        <w:autoSpaceDN w:val="0"/>
        <w:jc w:val="both"/>
      </w:pPr>
      <w:r w:rsidRPr="004B6203">
        <w:rPr>
          <w:lang w:eastAsia="ko-KR"/>
        </w:rPr>
        <w:t>To specify other enhancements to PC5/Uu for V2X on the following aspects:</w:t>
      </w:r>
    </w:p>
    <w:p w14:paraId="3ECDBBA5" w14:textId="759EF22A" w:rsidR="009B5CD0" w:rsidRDefault="001D7000" w:rsidP="00F77106">
      <w:pPr>
        <w:pStyle w:val="BodyText"/>
        <w:spacing w:after="240"/>
        <w:ind w:left="284" w:firstLine="284"/>
        <w:jc w:val="both"/>
        <w:rPr>
          <w:i/>
          <w:spacing w:val="2"/>
          <w:sz w:val="20"/>
          <w:szCs w:val="20"/>
          <w:lang w:val="en-GB"/>
        </w:rPr>
      </w:pPr>
      <w:r w:rsidRPr="001D7000">
        <w:rPr>
          <w:i/>
          <w:spacing w:val="2"/>
          <w:sz w:val="20"/>
          <w:szCs w:val="20"/>
          <w:lang w:val="en-GB"/>
        </w:rPr>
        <w:t>c)</w:t>
      </w:r>
      <w:r w:rsidRPr="001D7000">
        <w:rPr>
          <w:i/>
          <w:spacing w:val="2"/>
          <w:sz w:val="20"/>
          <w:szCs w:val="20"/>
          <w:lang w:val="en-GB"/>
        </w:rPr>
        <w:tab/>
        <w:t>Support of inter-PLMN for both PC5 and Uu (Note: Depending on the solutions, the specification(s) may or may not be impacted) [RAN2, RAN3, RAN1]</w:t>
      </w:r>
    </w:p>
    <w:p w14:paraId="4FA3602A" w14:textId="1C5F7EEC" w:rsidR="00015A61" w:rsidRDefault="00015A61" w:rsidP="001D7000">
      <w:pPr>
        <w:pStyle w:val="BodyText"/>
        <w:spacing w:after="240"/>
        <w:jc w:val="both"/>
        <w:rPr>
          <w:spacing w:val="2"/>
          <w:sz w:val="20"/>
          <w:szCs w:val="20"/>
          <w:lang w:val="en-GB"/>
        </w:rPr>
      </w:pPr>
      <w:r>
        <w:rPr>
          <w:spacing w:val="2"/>
          <w:sz w:val="20"/>
          <w:szCs w:val="20"/>
          <w:lang w:val="en-GB"/>
        </w:rPr>
        <w:t>This issue is triggered because: d</w:t>
      </w:r>
      <w:r w:rsidRPr="00015A61">
        <w:rPr>
          <w:spacing w:val="2"/>
          <w:sz w:val="20"/>
          <w:szCs w:val="20"/>
          <w:lang w:val="en-GB"/>
        </w:rPr>
        <w:t>epending on regulatory rules, in regions where no dedicated or common spectrum for V2X communication is assigned, and different PLMNs are configured to operate V2X over different radio resources, a V2X UE may need to receive V2X messages from different PLMNs simultaneously.</w:t>
      </w:r>
    </w:p>
    <w:p w14:paraId="6DBD21E7" w14:textId="0EAC7149" w:rsidR="001D7000" w:rsidRPr="001D7000" w:rsidRDefault="00015A61" w:rsidP="001D7000">
      <w:pPr>
        <w:pStyle w:val="BodyText"/>
        <w:spacing w:after="240"/>
        <w:jc w:val="both"/>
        <w:rPr>
          <w:spacing w:val="2"/>
          <w:sz w:val="20"/>
          <w:szCs w:val="20"/>
          <w:lang w:val="en-GB"/>
        </w:rPr>
      </w:pPr>
      <w:r>
        <w:rPr>
          <w:spacing w:val="2"/>
          <w:sz w:val="20"/>
          <w:szCs w:val="20"/>
          <w:lang w:val="en-GB"/>
        </w:rPr>
        <w:t xml:space="preserve">Detailed discussion is given in section </w:t>
      </w:r>
      <w:r>
        <w:rPr>
          <w:spacing w:val="2"/>
          <w:sz w:val="20"/>
          <w:szCs w:val="20"/>
          <w:lang w:val="en-GB"/>
        </w:rPr>
        <w:fldChar w:fldCharType="begin"/>
      </w:r>
      <w:r>
        <w:rPr>
          <w:spacing w:val="2"/>
          <w:sz w:val="20"/>
          <w:szCs w:val="20"/>
          <w:lang w:val="en-GB"/>
        </w:rPr>
        <w:instrText xml:space="preserve"> REF _Ref458286386 \r \h </w:instrText>
      </w:r>
      <w:r>
        <w:rPr>
          <w:spacing w:val="2"/>
          <w:sz w:val="20"/>
          <w:szCs w:val="20"/>
          <w:lang w:val="en-GB"/>
        </w:rPr>
      </w:r>
      <w:r>
        <w:rPr>
          <w:spacing w:val="2"/>
          <w:sz w:val="20"/>
          <w:szCs w:val="20"/>
          <w:lang w:val="en-GB"/>
        </w:rPr>
        <w:fldChar w:fldCharType="separate"/>
      </w:r>
      <w:r>
        <w:rPr>
          <w:spacing w:val="2"/>
          <w:sz w:val="20"/>
          <w:szCs w:val="20"/>
          <w:lang w:val="en-GB"/>
        </w:rPr>
        <w:t>2</w:t>
      </w:r>
      <w:r>
        <w:rPr>
          <w:spacing w:val="2"/>
          <w:sz w:val="20"/>
          <w:szCs w:val="20"/>
          <w:lang w:val="en-GB"/>
        </w:rPr>
        <w:fldChar w:fldCharType="end"/>
      </w:r>
      <w:r>
        <w:rPr>
          <w:spacing w:val="2"/>
          <w:sz w:val="20"/>
          <w:szCs w:val="20"/>
          <w:lang w:val="en-GB"/>
        </w:rPr>
        <w:t xml:space="preserve"> for Uu Rx and in section </w:t>
      </w:r>
      <w:r>
        <w:rPr>
          <w:spacing w:val="2"/>
          <w:sz w:val="20"/>
          <w:szCs w:val="20"/>
          <w:lang w:val="en-GB"/>
        </w:rPr>
        <w:fldChar w:fldCharType="begin"/>
      </w:r>
      <w:r>
        <w:rPr>
          <w:spacing w:val="2"/>
          <w:sz w:val="20"/>
          <w:szCs w:val="20"/>
          <w:lang w:val="en-GB"/>
        </w:rPr>
        <w:instrText xml:space="preserve"> REF _Ref458286395 \r \h </w:instrText>
      </w:r>
      <w:r>
        <w:rPr>
          <w:spacing w:val="2"/>
          <w:sz w:val="20"/>
          <w:szCs w:val="20"/>
          <w:lang w:val="en-GB"/>
        </w:rPr>
      </w:r>
      <w:r>
        <w:rPr>
          <w:spacing w:val="2"/>
          <w:sz w:val="20"/>
          <w:szCs w:val="20"/>
          <w:lang w:val="en-GB"/>
        </w:rPr>
        <w:fldChar w:fldCharType="separate"/>
      </w:r>
      <w:r>
        <w:rPr>
          <w:spacing w:val="2"/>
          <w:sz w:val="20"/>
          <w:szCs w:val="20"/>
          <w:lang w:val="en-GB"/>
        </w:rPr>
        <w:t>3</w:t>
      </w:r>
      <w:r>
        <w:rPr>
          <w:spacing w:val="2"/>
          <w:sz w:val="20"/>
          <w:szCs w:val="20"/>
          <w:lang w:val="en-GB"/>
        </w:rPr>
        <w:fldChar w:fldCharType="end"/>
      </w:r>
      <w:r>
        <w:rPr>
          <w:spacing w:val="2"/>
          <w:sz w:val="20"/>
          <w:szCs w:val="20"/>
          <w:lang w:val="en-GB"/>
        </w:rPr>
        <w:t xml:space="preserve"> for PC5 Rx respectively.</w:t>
      </w:r>
    </w:p>
    <w:p w14:paraId="75A48686" w14:textId="40D104C7" w:rsidR="009B5CD0" w:rsidRDefault="000C608B" w:rsidP="009B5CD0">
      <w:pPr>
        <w:pStyle w:val="Heading1"/>
      </w:pPr>
      <w:bookmarkStart w:id="3" w:name="_Ref458286386"/>
      <w:r>
        <w:rPr>
          <w:rFonts w:hint="eastAsia"/>
          <w:lang w:eastAsia="zh-CN"/>
        </w:rPr>
        <w:t>Inter</w:t>
      </w:r>
      <w:r>
        <w:rPr>
          <w:lang w:eastAsia="zh-CN"/>
        </w:rPr>
        <w:t>-PLMN Uu operation</w:t>
      </w:r>
      <w:bookmarkEnd w:id="3"/>
    </w:p>
    <w:p w14:paraId="5E33CB04" w14:textId="4E86F3DB" w:rsidR="000C608B" w:rsidRDefault="000C608B" w:rsidP="009B5CD0">
      <w:pPr>
        <w:rPr>
          <w:lang w:eastAsia="zh-CN"/>
        </w:rPr>
      </w:pPr>
      <w:r>
        <w:rPr>
          <w:rFonts w:hint="eastAsia"/>
          <w:lang w:eastAsia="zh-CN"/>
        </w:rPr>
        <w:t>T</w:t>
      </w:r>
      <w:r>
        <w:rPr>
          <w:lang w:eastAsia="zh-CN"/>
        </w:rPr>
        <w:t>h</w:t>
      </w:r>
      <w:r>
        <w:rPr>
          <w:rFonts w:hint="eastAsia"/>
          <w:lang w:eastAsia="zh-CN"/>
        </w:rPr>
        <w:t xml:space="preserve">is </w:t>
      </w:r>
      <w:r w:rsidR="00D71DCC">
        <w:rPr>
          <w:lang w:eastAsia="zh-CN"/>
        </w:rPr>
        <w:t>key issue</w:t>
      </w:r>
      <w:r>
        <w:rPr>
          <w:rFonts w:hint="eastAsia"/>
          <w:lang w:eastAsia="zh-CN"/>
        </w:rPr>
        <w:t xml:space="preserve"> is addressed in </w:t>
      </w:r>
      <w:r>
        <w:rPr>
          <w:lang w:eastAsia="zh-CN"/>
        </w:rPr>
        <w:t>TR 23.785 as follows:</w:t>
      </w:r>
    </w:p>
    <w:p w14:paraId="79EB8C2E" w14:textId="3AC04558" w:rsidR="000C608B" w:rsidRPr="00D71DCC" w:rsidRDefault="000C608B" w:rsidP="00D71DCC">
      <w:pPr>
        <w:pStyle w:val="ListParagraph"/>
        <w:numPr>
          <w:ilvl w:val="0"/>
          <w:numId w:val="28"/>
        </w:numPr>
        <w:spacing w:afterLines="50" w:after="120"/>
        <w:ind w:left="357" w:hanging="357"/>
        <w:rPr>
          <w:rFonts w:ascii="Times New Roman" w:hAnsi="Times New Roman" w:cs="Times New Roman"/>
          <w:i/>
          <w:sz w:val="20"/>
          <w:lang w:eastAsia="ko-KR"/>
        </w:rPr>
      </w:pPr>
      <w:r w:rsidRPr="00D71DCC">
        <w:rPr>
          <w:rFonts w:ascii="Times New Roman" w:hAnsi="Times New Roman" w:cs="Times New Roman"/>
          <w:i/>
          <w:sz w:val="20"/>
          <w:lang w:eastAsia="ko-KR"/>
        </w:rPr>
        <w:t>Identify the system-level aspects and any enhancements, if needed, to eMBMS to support inter-PLMN operation i.e. to support eMBMS reception in a UE where the PLMN providing the eMBMS service is different from the UE</w:t>
      </w:r>
      <w:r w:rsidRPr="00D71DCC">
        <w:rPr>
          <w:rFonts w:ascii="Times New Roman" w:hAnsi="Times New Roman" w:cs="Times New Roman"/>
          <w:i/>
          <w:sz w:val="20"/>
        </w:rPr>
        <w:t>'</w:t>
      </w:r>
      <w:r w:rsidRPr="00D71DCC">
        <w:rPr>
          <w:rFonts w:ascii="Times New Roman" w:hAnsi="Times New Roman" w:cs="Times New Roman"/>
          <w:i/>
          <w:sz w:val="20"/>
          <w:lang w:eastAsia="ko-KR"/>
        </w:rPr>
        <w:t>s serving PLMN.</w:t>
      </w:r>
    </w:p>
    <w:p w14:paraId="28F961BF" w14:textId="3080C340" w:rsidR="001D7000" w:rsidRDefault="00D71DCC" w:rsidP="001F1D16">
      <w:r>
        <w:rPr>
          <w:rFonts w:hint="eastAsia"/>
          <w:lang w:eastAsia="zh-CN"/>
        </w:rPr>
        <w:t>Thus</w:t>
      </w:r>
      <w:r w:rsidR="001D7000">
        <w:rPr>
          <w:lang w:eastAsia="zh-CN"/>
        </w:rPr>
        <w:t xml:space="preserve"> in short,</w:t>
      </w:r>
      <w:r>
        <w:rPr>
          <w:rFonts w:hint="eastAsia"/>
          <w:lang w:eastAsia="zh-CN"/>
        </w:rPr>
        <w:t xml:space="preserve"> </w:t>
      </w:r>
      <w:r>
        <w:rPr>
          <w:lang w:eastAsia="zh-CN"/>
        </w:rPr>
        <w:t xml:space="preserve">the problem is for a UE registered at PLMN A </w:t>
      </w:r>
      <w:r w:rsidR="001D7000">
        <w:rPr>
          <w:lang w:eastAsia="zh-CN"/>
        </w:rPr>
        <w:t xml:space="preserve">for MBB traffic </w:t>
      </w:r>
      <w:r>
        <w:rPr>
          <w:lang w:eastAsia="zh-CN"/>
        </w:rPr>
        <w:t>to receive from PLMN B for eMBMS traffic</w:t>
      </w:r>
      <w:r w:rsidR="001D7000">
        <w:rPr>
          <w:lang w:eastAsia="zh-CN"/>
        </w:rPr>
        <w:t xml:space="preserve"> </w:t>
      </w:r>
      <w:r w:rsidR="001F1D16">
        <w:rPr>
          <w:lang w:eastAsia="zh-CN"/>
        </w:rPr>
        <w:t xml:space="preserve">via Uu interface </w:t>
      </w:r>
      <w:r w:rsidR="001D7000">
        <w:rPr>
          <w:lang w:eastAsia="zh-CN"/>
        </w:rPr>
        <w:t xml:space="preserve">simulatenously. To achieve this, </w:t>
      </w:r>
      <w:r w:rsidR="001D7000">
        <w:t>UE can be in MBMS receive only mode for inter</w:t>
      </w:r>
      <w:r w:rsidR="001D7000" w:rsidRPr="004143BD">
        <w:rPr>
          <w:rFonts w:eastAsia="Malgun Gothic" w:hint="eastAsia"/>
          <w:lang w:eastAsia="ko-KR"/>
        </w:rPr>
        <w:t>-</w:t>
      </w:r>
      <w:r w:rsidR="001D7000">
        <w:t xml:space="preserve">PLMN operation. As long as MBMS data is not encrypted, UE should be able to acquire the MBMS data via the MBMS configuration information within the USD. The conclusion from </w:t>
      </w:r>
      <w:r w:rsidR="00015A61">
        <w:t xml:space="preserve">TR 23.785 </w:t>
      </w:r>
      <w:r w:rsidR="001D7000">
        <w:t>is as follows:</w:t>
      </w:r>
    </w:p>
    <w:p w14:paraId="3D4A42EC" w14:textId="60B59C71" w:rsidR="001D7000" w:rsidRDefault="001D7000" w:rsidP="001D7000">
      <w:pPr>
        <w:pStyle w:val="ListParagraph"/>
        <w:numPr>
          <w:ilvl w:val="0"/>
          <w:numId w:val="28"/>
        </w:numPr>
        <w:spacing w:afterLines="50" w:after="120"/>
        <w:ind w:left="357" w:hanging="357"/>
        <w:rPr>
          <w:rFonts w:ascii="Times New Roman" w:hAnsi="Times New Roman" w:cs="Times New Roman"/>
          <w:i/>
          <w:sz w:val="20"/>
          <w:lang w:eastAsia="ko-KR"/>
        </w:rPr>
      </w:pPr>
      <w:r w:rsidRPr="001D7000">
        <w:rPr>
          <w:rFonts w:ascii="Times New Roman" w:hAnsi="Times New Roman" w:cs="Times New Roman"/>
          <w:i/>
          <w:sz w:val="20"/>
          <w:lang w:eastAsia="ko-KR"/>
        </w:rPr>
        <w:t xml:space="preserve">For </w:t>
      </w:r>
      <w:r w:rsidRPr="001D7000">
        <w:rPr>
          <w:rFonts w:ascii="Times New Roman" w:hAnsi="Times New Roman" w:cs="Times New Roman" w:hint="eastAsia"/>
          <w:i/>
          <w:sz w:val="20"/>
          <w:lang w:eastAsia="ko-KR"/>
        </w:rPr>
        <w:t>LTE-Uu</w:t>
      </w:r>
      <w:r w:rsidRPr="001D7000">
        <w:rPr>
          <w:rFonts w:ascii="Times New Roman" w:hAnsi="Times New Roman" w:cs="Times New Roman"/>
          <w:i/>
          <w:sz w:val="20"/>
          <w:lang w:eastAsia="ko-KR"/>
        </w:rPr>
        <w:t xml:space="preserve"> based V2X</w:t>
      </w:r>
      <w:r w:rsidRPr="001D7000">
        <w:rPr>
          <w:rFonts w:ascii="Times New Roman" w:hAnsi="Times New Roman" w:cs="Times New Roman" w:hint="eastAsia"/>
          <w:i/>
          <w:sz w:val="20"/>
          <w:lang w:eastAsia="ko-KR"/>
        </w:rPr>
        <w:t>, h</w:t>
      </w:r>
      <w:r w:rsidRPr="001D7000">
        <w:rPr>
          <w:rFonts w:ascii="Times New Roman" w:hAnsi="Times New Roman" w:cs="Times New Roman"/>
          <w:i/>
          <w:sz w:val="20"/>
          <w:lang w:eastAsia="ko-KR"/>
        </w:rPr>
        <w:t xml:space="preserve">owever, </w:t>
      </w:r>
      <w:r w:rsidRPr="001D7000">
        <w:rPr>
          <w:rFonts w:ascii="Times New Roman" w:hAnsi="Times New Roman" w:cs="Times New Roman" w:hint="eastAsia"/>
          <w:i/>
          <w:sz w:val="20"/>
          <w:lang w:eastAsia="ko-KR"/>
        </w:rPr>
        <w:t>such requirements</w:t>
      </w:r>
      <w:r w:rsidRPr="001D7000">
        <w:rPr>
          <w:rFonts w:ascii="Times New Roman" w:hAnsi="Times New Roman" w:cs="Times New Roman"/>
          <w:i/>
          <w:sz w:val="20"/>
          <w:lang w:eastAsia="ko-KR"/>
        </w:rPr>
        <w:t xml:space="preserve"> could </w:t>
      </w:r>
      <w:r w:rsidRPr="001D7000">
        <w:rPr>
          <w:rFonts w:ascii="Times New Roman" w:hAnsi="Times New Roman" w:cs="Times New Roman" w:hint="eastAsia"/>
          <w:i/>
          <w:sz w:val="20"/>
          <w:lang w:eastAsia="ko-KR"/>
        </w:rPr>
        <w:t>be</w:t>
      </w:r>
      <w:r w:rsidRPr="001D7000">
        <w:rPr>
          <w:rFonts w:ascii="Times New Roman" w:hAnsi="Times New Roman" w:cs="Times New Roman"/>
          <w:i/>
          <w:sz w:val="20"/>
          <w:lang w:eastAsia="ko-KR"/>
        </w:rPr>
        <w:t xml:space="preserve"> mitigate</w:t>
      </w:r>
      <w:r w:rsidRPr="001D7000">
        <w:rPr>
          <w:rFonts w:ascii="Times New Roman" w:hAnsi="Times New Roman" w:cs="Times New Roman" w:hint="eastAsia"/>
          <w:i/>
          <w:sz w:val="20"/>
          <w:lang w:eastAsia="ko-KR"/>
        </w:rPr>
        <w:t>d</w:t>
      </w:r>
      <w:r w:rsidRPr="001D7000">
        <w:rPr>
          <w:rFonts w:ascii="Times New Roman" w:hAnsi="Times New Roman" w:cs="Times New Roman"/>
          <w:i/>
          <w:sz w:val="20"/>
          <w:lang w:eastAsia="ko-KR"/>
        </w:rPr>
        <w:t xml:space="preserve"> by configuring V2X Application Server exchange of V2X messages</w:t>
      </w:r>
      <w:r w:rsidRPr="001D7000">
        <w:rPr>
          <w:rFonts w:ascii="Times New Roman" w:hAnsi="Times New Roman" w:cs="Times New Roman" w:hint="eastAsia"/>
          <w:i/>
          <w:sz w:val="20"/>
          <w:lang w:eastAsia="ko-KR"/>
        </w:rPr>
        <w:t xml:space="preserve"> across PLMNs</w:t>
      </w:r>
      <w:r w:rsidRPr="001D7000">
        <w:rPr>
          <w:rFonts w:ascii="Times New Roman" w:hAnsi="Times New Roman" w:cs="Times New Roman"/>
          <w:i/>
          <w:sz w:val="20"/>
          <w:lang w:eastAsia="ko-KR"/>
        </w:rPr>
        <w:t>. Such configuration/arrangement is out of scope of 3GPP.</w:t>
      </w:r>
    </w:p>
    <w:p w14:paraId="323F8F1E" w14:textId="48326C9D" w:rsidR="00015A61" w:rsidRPr="00015A61" w:rsidRDefault="00015A61" w:rsidP="00015A61">
      <w:pPr>
        <w:spacing w:afterLines="50" w:after="120"/>
        <w:rPr>
          <w:rFonts w:eastAsiaTheme="minorEastAsia"/>
          <w:lang w:eastAsia="zh-CN"/>
        </w:rPr>
      </w:pPr>
      <w:r>
        <w:rPr>
          <w:rFonts w:eastAsiaTheme="minorEastAsia" w:hint="eastAsia"/>
          <w:lang w:eastAsia="zh-CN"/>
        </w:rPr>
        <w:t>Thus as long as the V2x application server routes the traffic across PLMN a</w:t>
      </w:r>
      <w:r>
        <w:rPr>
          <w:rFonts w:eastAsiaTheme="minorEastAsia"/>
          <w:lang w:eastAsia="zh-CN"/>
        </w:rPr>
        <w:t>ppropriately, the UE can support MBMS reception from non-registered PLMN.</w:t>
      </w:r>
    </w:p>
    <w:p w14:paraId="60AF39D3" w14:textId="089A31A9" w:rsidR="001D7000" w:rsidRPr="001D7000" w:rsidRDefault="00EB7099" w:rsidP="001D7000">
      <w:pPr>
        <w:rPr>
          <w:b/>
          <w:i/>
        </w:rPr>
      </w:pPr>
      <w:r>
        <w:rPr>
          <w:b/>
          <w:i/>
        </w:rPr>
        <w:t>Proposal</w:t>
      </w:r>
      <w:r w:rsidR="001D7000" w:rsidRPr="001D7000">
        <w:rPr>
          <w:rFonts w:hint="eastAsia"/>
          <w:b/>
          <w:i/>
        </w:rPr>
        <w:t>s:</w:t>
      </w:r>
    </w:p>
    <w:p w14:paraId="2877C7F1" w14:textId="593234C6" w:rsidR="00EB7099" w:rsidRDefault="00EB7099" w:rsidP="00015A61">
      <w:pPr>
        <w:pStyle w:val="ListParagraph"/>
        <w:numPr>
          <w:ilvl w:val="0"/>
          <w:numId w:val="25"/>
        </w:numPr>
        <w:rPr>
          <w:rFonts w:ascii="Times New Roman" w:hAnsi="Times New Roman" w:cs="Times New Roman"/>
          <w:b/>
          <w:i/>
          <w:sz w:val="20"/>
          <w:szCs w:val="20"/>
        </w:rPr>
      </w:pPr>
      <w:r>
        <w:rPr>
          <w:rFonts w:ascii="Times New Roman" w:hAnsi="Times New Roman" w:cs="Times New Roman" w:hint="eastAsia"/>
          <w:b/>
          <w:i/>
          <w:sz w:val="20"/>
          <w:szCs w:val="20"/>
        </w:rPr>
        <w:t xml:space="preserve">Dedicated Uu Rx chain is needed for inter-PLMN </w:t>
      </w:r>
      <w:r>
        <w:rPr>
          <w:rFonts w:ascii="Times New Roman" w:hAnsi="Times New Roman" w:cs="Times New Roman"/>
          <w:b/>
          <w:i/>
          <w:sz w:val="20"/>
          <w:szCs w:val="20"/>
        </w:rPr>
        <w:t>(e)MBMS reception.</w:t>
      </w:r>
    </w:p>
    <w:p w14:paraId="353A03AD" w14:textId="0F28BA17" w:rsidR="001D7000" w:rsidRPr="00015A61" w:rsidRDefault="001D7000" w:rsidP="00015A61">
      <w:pPr>
        <w:pStyle w:val="ListParagraph"/>
        <w:numPr>
          <w:ilvl w:val="0"/>
          <w:numId w:val="25"/>
        </w:numPr>
        <w:rPr>
          <w:rFonts w:ascii="Times New Roman" w:hAnsi="Times New Roman" w:cs="Times New Roman"/>
          <w:b/>
          <w:i/>
          <w:sz w:val="20"/>
          <w:szCs w:val="20"/>
        </w:rPr>
      </w:pPr>
      <w:r w:rsidRPr="00015A61">
        <w:rPr>
          <w:rFonts w:ascii="Times New Roman" w:hAnsi="Times New Roman" w:cs="Times New Roman"/>
          <w:b/>
          <w:i/>
          <w:sz w:val="20"/>
          <w:szCs w:val="20"/>
        </w:rPr>
        <w:t>No impact on RAN1 specficiation to meet the requirement on inter-PLMN Uu operation.</w:t>
      </w:r>
    </w:p>
    <w:p w14:paraId="283AB686" w14:textId="4E9B3645" w:rsidR="00265532" w:rsidRDefault="000C608B" w:rsidP="00A12FE6">
      <w:pPr>
        <w:pStyle w:val="Heading1"/>
      </w:pPr>
      <w:bookmarkStart w:id="4" w:name="_Ref458286395"/>
      <w:r>
        <w:rPr>
          <w:rFonts w:hint="eastAsia"/>
          <w:lang w:eastAsia="zh-CN"/>
        </w:rPr>
        <w:t>I</w:t>
      </w:r>
      <w:r>
        <w:rPr>
          <w:lang w:eastAsia="zh-CN"/>
        </w:rPr>
        <w:t>nter-PLMN PC5 operation</w:t>
      </w:r>
      <w:bookmarkEnd w:id="4"/>
    </w:p>
    <w:p w14:paraId="61C97F76" w14:textId="17CDDA90" w:rsidR="00015A61" w:rsidRDefault="00015A61" w:rsidP="009F1071">
      <w:pPr>
        <w:jc w:val="both"/>
        <w:rPr>
          <w:lang w:eastAsia="zh-CN"/>
        </w:rPr>
      </w:pPr>
      <w:r>
        <w:rPr>
          <w:rFonts w:hint="eastAsia"/>
          <w:lang w:eastAsia="zh-CN"/>
        </w:rPr>
        <w:t xml:space="preserve">The key issue is </w:t>
      </w:r>
      <w:r>
        <w:rPr>
          <w:lang w:eastAsia="zh-CN"/>
        </w:rPr>
        <w:t>addressed in TR 23.785 as follows:</w:t>
      </w:r>
    </w:p>
    <w:p w14:paraId="4F4678AA" w14:textId="32C80B9E" w:rsidR="00015A61" w:rsidRDefault="00015A61" w:rsidP="00015A61">
      <w:pPr>
        <w:pStyle w:val="ListParagraph"/>
        <w:numPr>
          <w:ilvl w:val="0"/>
          <w:numId w:val="28"/>
        </w:numPr>
        <w:spacing w:afterLines="50" w:after="120"/>
        <w:ind w:left="357" w:hanging="357"/>
        <w:rPr>
          <w:rFonts w:ascii="Times New Roman" w:hAnsi="Times New Roman" w:cs="Times New Roman"/>
          <w:i/>
          <w:sz w:val="20"/>
          <w:lang w:eastAsia="ko-KR"/>
        </w:rPr>
      </w:pPr>
      <w:r w:rsidRPr="00015A61">
        <w:rPr>
          <w:rFonts w:ascii="Times New Roman" w:hAnsi="Times New Roman" w:cs="Times New Roman"/>
          <w:i/>
          <w:sz w:val="20"/>
          <w:lang w:eastAsia="ko-KR"/>
        </w:rPr>
        <w:t>Identify the system-level aspects and any enhancements, if needed, to ProSe Direct Communication (e.g. authorization) to support inter-PLMN operation i.e. to support ProSe Direct Communication for V2V/V2P service among UEs served by different PLMNs</w:t>
      </w:r>
      <w:r w:rsidRPr="00015A61">
        <w:rPr>
          <w:rFonts w:ascii="Times New Roman" w:hAnsi="Times New Roman" w:cs="Times New Roman" w:hint="eastAsia"/>
          <w:i/>
          <w:sz w:val="20"/>
          <w:lang w:eastAsia="ko-KR"/>
        </w:rPr>
        <w:t>.</w:t>
      </w:r>
    </w:p>
    <w:p w14:paraId="6762CD76" w14:textId="77777777" w:rsidR="001F1D16" w:rsidRDefault="001F1D16" w:rsidP="00015A61">
      <w:pPr>
        <w:spacing w:afterLines="50" w:after="120"/>
        <w:rPr>
          <w:rFonts w:eastAsiaTheme="minorEastAsia"/>
          <w:lang w:eastAsia="zh-CN"/>
        </w:rPr>
      </w:pPr>
      <w:r>
        <w:rPr>
          <w:rFonts w:eastAsiaTheme="minorEastAsia" w:hint="eastAsia"/>
          <w:lang w:eastAsia="zh-CN"/>
        </w:rPr>
        <w:t xml:space="preserve">Thus in short, the problem </w:t>
      </w:r>
      <w:r>
        <w:rPr>
          <w:rFonts w:eastAsiaTheme="minorEastAsia"/>
          <w:lang w:eastAsia="zh-CN"/>
        </w:rPr>
        <w:t xml:space="preserve">is for a UE registered at PLMN A to communicate with another UE registered at PLMN B via PC5 interface. </w:t>
      </w:r>
    </w:p>
    <w:p w14:paraId="3F7285CA" w14:textId="34B7EDC0" w:rsidR="00015A61" w:rsidRPr="001F1D16" w:rsidRDefault="001F1D16" w:rsidP="00015A61">
      <w:pPr>
        <w:spacing w:afterLines="50" w:after="120"/>
        <w:rPr>
          <w:rFonts w:eastAsiaTheme="minorEastAsia"/>
          <w:lang w:eastAsia="zh-CN"/>
        </w:rPr>
      </w:pPr>
      <w:r>
        <w:t>As concluded in Rel-12/13 ProSe communication, UEs are allowed to transmit in the serving PLMN only, and benefit of allowing a UE to transmit in a non-serving PLMN for V2X is not clear. So it is mainly the inter-PLMN reception which to rely on for inter-PLMN PC5 communication.</w:t>
      </w:r>
      <w:r w:rsidR="00EB7099">
        <w:t xml:space="preserve"> Since latency is a very important requirement for V2x, the time gap based Rx chain switching between PLMNs (if dedicated carrier for different PLMN) is not applicable, considering possible packet loss during the switching operation. </w:t>
      </w:r>
    </w:p>
    <w:p w14:paraId="3D900035" w14:textId="77777777" w:rsidR="00911DDD" w:rsidRPr="007C6CDF" w:rsidRDefault="00911DDD" w:rsidP="00911DDD">
      <w:pPr>
        <w:jc w:val="both"/>
        <w:rPr>
          <w:b/>
          <w:i/>
        </w:rPr>
      </w:pPr>
      <w:r w:rsidRPr="007C6CDF">
        <w:rPr>
          <w:b/>
          <w:i/>
        </w:rPr>
        <w:t>Proposals:</w:t>
      </w:r>
    </w:p>
    <w:p w14:paraId="2FE9B135" w14:textId="2F8312F8" w:rsidR="00911DDD" w:rsidRDefault="00EB7099" w:rsidP="00EB7099">
      <w:pPr>
        <w:pStyle w:val="ListParagraph"/>
        <w:numPr>
          <w:ilvl w:val="0"/>
          <w:numId w:val="10"/>
        </w:numPr>
        <w:jc w:val="both"/>
        <w:rPr>
          <w:rFonts w:ascii="Times New Roman" w:hAnsi="Times New Roman" w:cs="Times New Roman"/>
          <w:b/>
          <w:i/>
          <w:sz w:val="20"/>
          <w:szCs w:val="20"/>
        </w:rPr>
      </w:pPr>
      <w:r>
        <w:rPr>
          <w:rFonts w:ascii="Times New Roman" w:hAnsi="Times New Roman" w:cs="Times New Roman"/>
          <w:b/>
          <w:i/>
          <w:sz w:val="20"/>
          <w:szCs w:val="20"/>
        </w:rPr>
        <w:lastRenderedPageBreak/>
        <w:t>Dedciated PC5 Rx chain is needed for inter-PLMN PC5 reception.</w:t>
      </w:r>
    </w:p>
    <w:p w14:paraId="33401446" w14:textId="2F10840E" w:rsidR="009F1071" w:rsidRPr="00EB7099" w:rsidRDefault="00EB7099" w:rsidP="00EB7099">
      <w:pPr>
        <w:pStyle w:val="ListParagraph"/>
        <w:numPr>
          <w:ilvl w:val="0"/>
          <w:numId w:val="10"/>
        </w:numPr>
        <w:spacing w:after="240"/>
        <w:jc w:val="both"/>
        <w:rPr>
          <w:i/>
          <w:spacing w:val="2"/>
          <w:sz w:val="20"/>
          <w:szCs w:val="20"/>
        </w:rPr>
      </w:pPr>
      <w:r w:rsidRPr="00EB7099">
        <w:rPr>
          <w:rFonts w:ascii="Times New Roman" w:hAnsi="Times New Roman" w:cs="Times New Roman"/>
          <w:b/>
          <w:i/>
          <w:sz w:val="20"/>
          <w:szCs w:val="20"/>
        </w:rPr>
        <w:t>No impact on RAN1 specifi</w:t>
      </w:r>
      <w:r w:rsidR="00753F78">
        <w:rPr>
          <w:rFonts w:ascii="Times New Roman" w:hAnsi="Times New Roman" w:cs="Times New Roman"/>
          <w:b/>
          <w:i/>
          <w:sz w:val="20"/>
          <w:szCs w:val="20"/>
        </w:rPr>
        <w:t>c</w:t>
      </w:r>
      <w:r w:rsidRPr="00EB7099">
        <w:rPr>
          <w:rFonts w:ascii="Times New Roman" w:hAnsi="Times New Roman" w:cs="Times New Roman"/>
          <w:b/>
          <w:i/>
          <w:sz w:val="20"/>
          <w:szCs w:val="20"/>
        </w:rPr>
        <w:t>ation to meet the reception on inter-PLMN PC5 operation.</w:t>
      </w:r>
    </w:p>
    <w:p w14:paraId="627FFA67" w14:textId="48BD15E7" w:rsidR="00EB7099" w:rsidRDefault="00EB7099" w:rsidP="006921B8">
      <w:pPr>
        <w:spacing w:after="120"/>
        <w:jc w:val="both"/>
        <w:rPr>
          <w:spacing w:val="2"/>
          <w:lang w:eastAsia="zh-CN"/>
        </w:rPr>
      </w:pPr>
      <w:r>
        <w:rPr>
          <w:rFonts w:hint="eastAsia"/>
          <w:spacing w:val="2"/>
          <w:lang w:eastAsia="zh-CN"/>
        </w:rPr>
        <w:t xml:space="preserve">For the </w:t>
      </w:r>
      <w:r>
        <w:rPr>
          <w:spacing w:val="2"/>
          <w:lang w:eastAsia="zh-CN"/>
        </w:rPr>
        <w:t xml:space="preserve">operation scenario </w:t>
      </w:r>
      <w:r>
        <w:rPr>
          <w:rFonts w:hint="eastAsia"/>
          <w:spacing w:val="2"/>
          <w:lang w:eastAsia="zh-CN"/>
        </w:rPr>
        <w:t xml:space="preserve">case B as stated in </w:t>
      </w:r>
      <w:r>
        <w:rPr>
          <w:spacing w:val="2"/>
          <w:lang w:eastAsia="zh-CN"/>
        </w:rPr>
        <w:t>TR 36.885:</w:t>
      </w:r>
    </w:p>
    <w:p w14:paraId="652E517C" w14:textId="2F6BC696" w:rsidR="00EB7099" w:rsidRPr="006921B8" w:rsidRDefault="00EB7099" w:rsidP="006921B8">
      <w:pPr>
        <w:pStyle w:val="ListParagraph"/>
        <w:widowControl w:val="0"/>
        <w:numPr>
          <w:ilvl w:val="0"/>
          <w:numId w:val="28"/>
        </w:numPr>
        <w:wordWrap w:val="0"/>
        <w:autoSpaceDE w:val="0"/>
        <w:autoSpaceDN w:val="0"/>
        <w:spacing w:beforeLines="50" w:before="120" w:afterLines="50" w:after="120"/>
        <w:jc w:val="both"/>
        <w:rPr>
          <w:rFonts w:ascii="Times" w:eastAsia="MS Mincho" w:hAnsi="Times"/>
          <w:i/>
          <w:szCs w:val="24"/>
          <w:lang w:eastAsia="ja-JP"/>
        </w:rPr>
      </w:pPr>
      <w:r w:rsidRPr="006921B8">
        <w:rPr>
          <w:rFonts w:ascii="Times" w:eastAsia="MS Mincho" w:hAnsi="Times"/>
          <w:i/>
          <w:szCs w:val="24"/>
          <w:lang w:eastAsia="ja-JP"/>
        </w:rPr>
        <w:t xml:space="preserve">Case 4B: A set of PC5 operation carrier(s) is shared by UEs subscribed to different operators. This means that UEs belonging to different operators may transmit on the same carrier. </w:t>
      </w:r>
    </w:p>
    <w:p w14:paraId="4F5EF20E" w14:textId="5167087A" w:rsidR="00265532" w:rsidRPr="006921B8" w:rsidRDefault="00EB7099" w:rsidP="006921B8">
      <w:pPr>
        <w:spacing w:after="240"/>
        <w:jc w:val="both"/>
        <w:rPr>
          <w:spacing w:val="2"/>
          <w:lang w:eastAsia="zh-CN"/>
        </w:rPr>
      </w:pPr>
      <w:r>
        <w:rPr>
          <w:spacing w:val="2"/>
          <w:lang w:eastAsia="zh-CN"/>
        </w:rPr>
        <w:t>M</w:t>
      </w:r>
      <w:r w:rsidR="006921B8">
        <w:rPr>
          <w:spacing w:val="2"/>
          <w:lang w:eastAsia="zh-CN"/>
        </w:rPr>
        <w:t xml:space="preserve">ore details are given in </w:t>
      </w:r>
      <w:r w:rsidR="006921B8">
        <w:rPr>
          <w:spacing w:val="2"/>
          <w:lang w:eastAsia="zh-CN"/>
        </w:rPr>
        <w:fldChar w:fldCharType="begin"/>
      </w:r>
      <w:r w:rsidR="006921B8">
        <w:rPr>
          <w:spacing w:val="2"/>
          <w:lang w:eastAsia="zh-CN"/>
        </w:rPr>
        <w:instrText xml:space="preserve"> REF _Ref458288332 \r \h </w:instrText>
      </w:r>
      <w:r w:rsidR="006921B8">
        <w:rPr>
          <w:spacing w:val="2"/>
          <w:lang w:eastAsia="zh-CN"/>
        </w:rPr>
      </w:r>
      <w:r w:rsidR="006921B8">
        <w:rPr>
          <w:spacing w:val="2"/>
          <w:lang w:eastAsia="zh-CN"/>
        </w:rPr>
        <w:fldChar w:fldCharType="separate"/>
      </w:r>
      <w:r w:rsidR="006921B8">
        <w:rPr>
          <w:spacing w:val="2"/>
          <w:lang w:eastAsia="zh-CN"/>
        </w:rPr>
        <w:t>[1]</w:t>
      </w:r>
      <w:r w:rsidR="006921B8">
        <w:rPr>
          <w:spacing w:val="2"/>
          <w:lang w:eastAsia="zh-CN"/>
        </w:rPr>
        <w:fldChar w:fldCharType="end"/>
      </w:r>
      <w:r w:rsidR="006921B8">
        <w:rPr>
          <w:spacing w:val="2"/>
          <w:lang w:eastAsia="zh-CN"/>
        </w:rPr>
        <w:t xml:space="preserve"> </w:t>
      </w:r>
      <w:r>
        <w:rPr>
          <w:spacing w:val="2"/>
          <w:lang w:eastAsia="zh-CN"/>
        </w:rPr>
        <w:t>w.r.t. how to handle the inter-PLMN resource coordination when a same carrier is shared between operator for V2x PC5 communication.</w:t>
      </w:r>
    </w:p>
    <w:p w14:paraId="0878E58C" w14:textId="77777777" w:rsidR="00D0339F" w:rsidRPr="00744368" w:rsidRDefault="00D0339F" w:rsidP="00D0339F">
      <w:pPr>
        <w:pStyle w:val="Heading1"/>
      </w:pPr>
      <w:r w:rsidRPr="00744368">
        <w:t>Conclusions</w:t>
      </w:r>
      <w:r w:rsidR="00A11B11" w:rsidRPr="00744368">
        <w:t xml:space="preserve"> </w:t>
      </w:r>
    </w:p>
    <w:p w14:paraId="210AD2E6" w14:textId="06416201" w:rsidR="00917997" w:rsidRDefault="00D70014" w:rsidP="00917997">
      <w:pPr>
        <w:rPr>
          <w:lang w:val="en-US"/>
        </w:rPr>
      </w:pPr>
      <w:r w:rsidRPr="00D70014">
        <w:rPr>
          <w:lang w:val="en-US"/>
        </w:rPr>
        <w:t xml:space="preserve">In this paper we discuss </w:t>
      </w:r>
      <w:r w:rsidR="006921B8">
        <w:rPr>
          <w:lang w:val="en-US"/>
        </w:rPr>
        <w:t>inter-PLMN operation</w:t>
      </w:r>
      <w:r w:rsidRPr="00D70014">
        <w:rPr>
          <w:lang w:val="en-US"/>
        </w:rPr>
        <w:t xml:space="preserve"> and come to the following conslusions:</w:t>
      </w:r>
    </w:p>
    <w:p w14:paraId="37498D62" w14:textId="77777777" w:rsidR="00D70014" w:rsidRPr="002C5FD4" w:rsidRDefault="00D70014" w:rsidP="00D70014">
      <w:pPr>
        <w:rPr>
          <w:b/>
          <w:i/>
        </w:rPr>
      </w:pPr>
      <w:r w:rsidRPr="002C5FD4">
        <w:rPr>
          <w:b/>
          <w:i/>
        </w:rPr>
        <w:t>Proposals:</w:t>
      </w:r>
    </w:p>
    <w:p w14:paraId="63090E3D" w14:textId="77777777" w:rsidR="006921B8" w:rsidRDefault="006921B8" w:rsidP="006921B8">
      <w:pPr>
        <w:pStyle w:val="ListParagraph"/>
        <w:numPr>
          <w:ilvl w:val="0"/>
          <w:numId w:val="25"/>
        </w:numPr>
        <w:rPr>
          <w:rFonts w:ascii="Times New Roman" w:hAnsi="Times New Roman" w:cs="Times New Roman"/>
          <w:b/>
          <w:i/>
          <w:sz w:val="20"/>
          <w:szCs w:val="20"/>
        </w:rPr>
      </w:pPr>
      <w:r>
        <w:rPr>
          <w:rFonts w:ascii="Times New Roman" w:hAnsi="Times New Roman" w:cs="Times New Roman" w:hint="eastAsia"/>
          <w:b/>
          <w:i/>
          <w:sz w:val="20"/>
          <w:szCs w:val="20"/>
        </w:rPr>
        <w:t xml:space="preserve">Dedicated Uu Rx chain is needed for inter-PLMN </w:t>
      </w:r>
      <w:r>
        <w:rPr>
          <w:rFonts w:ascii="Times New Roman" w:hAnsi="Times New Roman" w:cs="Times New Roman"/>
          <w:b/>
          <w:i/>
          <w:sz w:val="20"/>
          <w:szCs w:val="20"/>
        </w:rPr>
        <w:t>(e)MBMS reception.</w:t>
      </w:r>
    </w:p>
    <w:p w14:paraId="6D7419B1" w14:textId="1FBF2EC1" w:rsidR="006921B8" w:rsidRDefault="006921B8" w:rsidP="006921B8">
      <w:pPr>
        <w:pStyle w:val="ListParagraph"/>
        <w:numPr>
          <w:ilvl w:val="0"/>
          <w:numId w:val="25"/>
        </w:numPr>
        <w:rPr>
          <w:rFonts w:ascii="Times New Roman" w:hAnsi="Times New Roman" w:cs="Times New Roman"/>
          <w:b/>
          <w:i/>
          <w:sz w:val="20"/>
          <w:szCs w:val="20"/>
        </w:rPr>
      </w:pPr>
      <w:r w:rsidRPr="00015A61">
        <w:rPr>
          <w:rFonts w:ascii="Times New Roman" w:hAnsi="Times New Roman" w:cs="Times New Roman"/>
          <w:b/>
          <w:i/>
          <w:sz w:val="20"/>
          <w:szCs w:val="20"/>
        </w:rPr>
        <w:t>No impact on RAN1 specficiation to meet the requirement on inter-PLMN Uu operation.</w:t>
      </w:r>
    </w:p>
    <w:p w14:paraId="0D76F64E" w14:textId="77777777" w:rsidR="006921B8" w:rsidRDefault="006921B8" w:rsidP="006921B8">
      <w:pPr>
        <w:pStyle w:val="ListParagraph"/>
        <w:numPr>
          <w:ilvl w:val="0"/>
          <w:numId w:val="25"/>
        </w:numPr>
        <w:jc w:val="both"/>
        <w:rPr>
          <w:rFonts w:ascii="Times New Roman" w:hAnsi="Times New Roman" w:cs="Times New Roman"/>
          <w:b/>
          <w:i/>
          <w:sz w:val="20"/>
          <w:szCs w:val="20"/>
        </w:rPr>
      </w:pPr>
      <w:r>
        <w:rPr>
          <w:rFonts w:ascii="Times New Roman" w:hAnsi="Times New Roman" w:cs="Times New Roman"/>
          <w:b/>
          <w:i/>
          <w:sz w:val="20"/>
          <w:szCs w:val="20"/>
        </w:rPr>
        <w:t>Dedciated PC5 Rx chain is needed for inter-PLMN PC5 reception.</w:t>
      </w:r>
    </w:p>
    <w:p w14:paraId="38C8662D" w14:textId="224F4FD4" w:rsidR="00D70014" w:rsidRPr="006921B8" w:rsidRDefault="006921B8" w:rsidP="00917997">
      <w:pPr>
        <w:pStyle w:val="ListParagraph"/>
        <w:numPr>
          <w:ilvl w:val="0"/>
          <w:numId w:val="25"/>
        </w:numPr>
        <w:spacing w:after="240"/>
        <w:jc w:val="both"/>
        <w:rPr>
          <w:i/>
          <w:spacing w:val="2"/>
          <w:sz w:val="20"/>
          <w:szCs w:val="20"/>
        </w:rPr>
      </w:pPr>
      <w:r w:rsidRPr="00EB7099">
        <w:rPr>
          <w:rFonts w:ascii="Times New Roman" w:hAnsi="Times New Roman" w:cs="Times New Roman"/>
          <w:b/>
          <w:i/>
          <w:sz w:val="20"/>
          <w:szCs w:val="20"/>
        </w:rPr>
        <w:t>No impact on RAN1 specifciati</w:t>
      </w:r>
      <w:bookmarkStart w:id="5" w:name="_GoBack"/>
      <w:bookmarkEnd w:id="5"/>
      <w:r w:rsidRPr="00EB7099">
        <w:rPr>
          <w:rFonts w:ascii="Times New Roman" w:hAnsi="Times New Roman" w:cs="Times New Roman"/>
          <w:b/>
          <w:i/>
          <w:sz w:val="20"/>
          <w:szCs w:val="20"/>
        </w:rPr>
        <w:t>on to meet the reception on inter-PLMN PC5 operation.</w:t>
      </w:r>
    </w:p>
    <w:p w14:paraId="7B04B0D3" w14:textId="77777777" w:rsidR="009A1074" w:rsidRPr="00DA1475" w:rsidRDefault="00C02A80" w:rsidP="00856691">
      <w:pPr>
        <w:pStyle w:val="Heading1"/>
      </w:pPr>
      <w:r w:rsidRPr="00DA1475">
        <w:t>References</w:t>
      </w:r>
    </w:p>
    <w:p w14:paraId="7E007EBE" w14:textId="21F780AF" w:rsidR="00FE6265" w:rsidRPr="00753F78" w:rsidRDefault="006921B8" w:rsidP="00B13B77">
      <w:pPr>
        <w:numPr>
          <w:ilvl w:val="0"/>
          <w:numId w:val="21"/>
        </w:numPr>
        <w:ind w:hanging="720"/>
        <w:rPr>
          <w:sz w:val="22"/>
          <w:szCs w:val="22"/>
        </w:rPr>
      </w:pPr>
      <w:bookmarkStart w:id="6" w:name="_Ref458288332"/>
      <w:bookmarkStart w:id="7" w:name="_Ref442446938"/>
      <w:r w:rsidRPr="00753F78">
        <w:rPr>
          <w:color w:val="312E25"/>
          <w:sz w:val="22"/>
          <w:szCs w:val="22"/>
          <w:lang w:eastAsia="sv-SE"/>
        </w:rPr>
        <w:t>R1-16</w:t>
      </w:r>
      <w:r w:rsidR="00753F78" w:rsidRPr="00753F78">
        <w:rPr>
          <w:color w:val="312E25"/>
          <w:sz w:val="22"/>
          <w:szCs w:val="22"/>
          <w:lang w:eastAsia="sv-SE"/>
        </w:rPr>
        <w:t>6956</w:t>
      </w:r>
      <w:r w:rsidRPr="00753F78">
        <w:rPr>
          <w:color w:val="312E25"/>
          <w:sz w:val="22"/>
          <w:szCs w:val="22"/>
          <w:lang w:eastAsia="sv-SE"/>
        </w:rPr>
        <w:t>, Cross-carrier and multi-operator scheduling</w:t>
      </w:r>
      <w:r w:rsidR="00753F78" w:rsidRPr="00753F78">
        <w:rPr>
          <w:color w:val="312E25"/>
          <w:sz w:val="22"/>
          <w:szCs w:val="22"/>
          <w:lang w:eastAsia="sv-SE"/>
        </w:rPr>
        <w:t xml:space="preserve"> for V2V over PC5</w:t>
      </w:r>
      <w:r w:rsidRPr="00753F78">
        <w:rPr>
          <w:color w:val="312E25"/>
          <w:sz w:val="22"/>
          <w:szCs w:val="22"/>
          <w:lang w:eastAsia="sv-SE"/>
        </w:rPr>
        <w:t>, Ericsson.</w:t>
      </w:r>
      <w:bookmarkEnd w:id="6"/>
    </w:p>
    <w:bookmarkEnd w:id="7"/>
    <w:p w14:paraId="740B3508" w14:textId="77777777" w:rsidR="00417A97" w:rsidRPr="0030028E" w:rsidRDefault="00417A97" w:rsidP="00A94ADF">
      <w:pPr>
        <w:rPr>
          <w:lang w:val="en-US"/>
        </w:rPr>
      </w:pPr>
    </w:p>
    <w:sectPr w:rsidR="00417A97" w:rsidRPr="0030028E"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7448A" w14:textId="77777777" w:rsidR="001E3AAB" w:rsidRDefault="001E3AAB">
      <w:r>
        <w:separator/>
      </w:r>
    </w:p>
  </w:endnote>
  <w:endnote w:type="continuationSeparator" w:id="0">
    <w:p w14:paraId="0C25AD11" w14:textId="77777777" w:rsidR="001E3AAB" w:rsidRDefault="001E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F61BC" w14:textId="77777777" w:rsidR="001E3AAB" w:rsidRDefault="001E3AAB">
      <w:r>
        <w:separator/>
      </w:r>
    </w:p>
  </w:footnote>
  <w:footnote w:type="continuationSeparator" w:id="0">
    <w:p w14:paraId="4C14D22D" w14:textId="77777777" w:rsidR="001E3AAB" w:rsidRDefault="001E3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EC8A137C"/>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FC61E3"/>
    <w:multiLevelType w:val="hybridMultilevel"/>
    <w:tmpl w:val="024C9EDC"/>
    <w:lvl w:ilvl="0" w:tplc="D07CE39A">
      <w:start w:val="1"/>
      <w:numFmt w:val="bullet"/>
      <w:lvlText w:val="•"/>
      <w:lvlJc w:val="left"/>
      <w:pPr>
        <w:tabs>
          <w:tab w:val="num" w:pos="928"/>
        </w:tabs>
        <w:ind w:left="928" w:hanging="360"/>
      </w:pPr>
      <w:rPr>
        <w:rFonts w:ascii="Arial" w:hAnsi="Arial" w:cs="Times New Roman" w:hint="default"/>
      </w:rPr>
    </w:lvl>
    <w:lvl w:ilvl="1" w:tplc="1638E24A">
      <w:start w:val="2264"/>
      <w:numFmt w:val="bullet"/>
      <w:lvlText w:val="–"/>
      <w:lvlJc w:val="left"/>
      <w:pPr>
        <w:tabs>
          <w:tab w:val="num" w:pos="1648"/>
        </w:tabs>
        <w:ind w:left="1648" w:hanging="360"/>
      </w:pPr>
      <w:rPr>
        <w:rFonts w:ascii="Arial" w:hAnsi="Arial" w:cs="Times New Roman" w:hint="default"/>
      </w:rPr>
    </w:lvl>
    <w:lvl w:ilvl="2" w:tplc="C8D8B3C2">
      <w:start w:val="1"/>
      <w:numFmt w:val="bullet"/>
      <w:lvlText w:val="•"/>
      <w:lvlJc w:val="left"/>
      <w:pPr>
        <w:tabs>
          <w:tab w:val="num" w:pos="2368"/>
        </w:tabs>
        <w:ind w:left="2368" w:hanging="360"/>
      </w:pPr>
      <w:rPr>
        <w:rFonts w:ascii="Arial" w:hAnsi="Arial" w:cs="Times New Roman" w:hint="default"/>
      </w:rPr>
    </w:lvl>
    <w:lvl w:ilvl="3" w:tplc="9B78D6B2">
      <w:start w:val="1"/>
      <w:numFmt w:val="bullet"/>
      <w:lvlText w:val="•"/>
      <w:lvlJc w:val="left"/>
      <w:pPr>
        <w:tabs>
          <w:tab w:val="num" w:pos="3088"/>
        </w:tabs>
        <w:ind w:left="3088" w:hanging="360"/>
      </w:pPr>
      <w:rPr>
        <w:rFonts w:ascii="Arial" w:hAnsi="Arial" w:cs="Times New Roman" w:hint="default"/>
      </w:rPr>
    </w:lvl>
    <w:lvl w:ilvl="4" w:tplc="EC4CE804">
      <w:start w:val="1"/>
      <w:numFmt w:val="bullet"/>
      <w:lvlText w:val="•"/>
      <w:lvlJc w:val="left"/>
      <w:pPr>
        <w:tabs>
          <w:tab w:val="num" w:pos="3808"/>
        </w:tabs>
        <w:ind w:left="3808" w:hanging="360"/>
      </w:pPr>
      <w:rPr>
        <w:rFonts w:ascii="Arial" w:hAnsi="Arial" w:cs="Times New Roman" w:hint="default"/>
      </w:rPr>
    </w:lvl>
    <w:lvl w:ilvl="5" w:tplc="9FA2A692">
      <w:start w:val="1"/>
      <w:numFmt w:val="bullet"/>
      <w:lvlText w:val="•"/>
      <w:lvlJc w:val="left"/>
      <w:pPr>
        <w:tabs>
          <w:tab w:val="num" w:pos="4528"/>
        </w:tabs>
        <w:ind w:left="4528" w:hanging="360"/>
      </w:pPr>
      <w:rPr>
        <w:rFonts w:ascii="Arial" w:hAnsi="Arial" w:cs="Times New Roman" w:hint="default"/>
      </w:rPr>
    </w:lvl>
    <w:lvl w:ilvl="6" w:tplc="AB94FC0E">
      <w:start w:val="1"/>
      <w:numFmt w:val="bullet"/>
      <w:lvlText w:val="•"/>
      <w:lvlJc w:val="left"/>
      <w:pPr>
        <w:tabs>
          <w:tab w:val="num" w:pos="5248"/>
        </w:tabs>
        <w:ind w:left="5248" w:hanging="360"/>
      </w:pPr>
      <w:rPr>
        <w:rFonts w:ascii="Arial" w:hAnsi="Arial" w:cs="Times New Roman" w:hint="default"/>
      </w:rPr>
    </w:lvl>
    <w:lvl w:ilvl="7" w:tplc="497ED5CE">
      <w:start w:val="1"/>
      <w:numFmt w:val="bullet"/>
      <w:lvlText w:val="•"/>
      <w:lvlJc w:val="left"/>
      <w:pPr>
        <w:tabs>
          <w:tab w:val="num" w:pos="5968"/>
        </w:tabs>
        <w:ind w:left="5968" w:hanging="360"/>
      </w:pPr>
      <w:rPr>
        <w:rFonts w:ascii="Arial" w:hAnsi="Arial" w:cs="Times New Roman" w:hint="default"/>
      </w:rPr>
    </w:lvl>
    <w:lvl w:ilvl="8" w:tplc="B964A250">
      <w:start w:val="1"/>
      <w:numFmt w:val="bullet"/>
      <w:lvlText w:val="•"/>
      <w:lvlJc w:val="left"/>
      <w:pPr>
        <w:tabs>
          <w:tab w:val="num" w:pos="6688"/>
        </w:tabs>
        <w:ind w:left="6688" w:hanging="360"/>
      </w:pPr>
      <w:rPr>
        <w:rFonts w:ascii="Arial" w:hAnsi="Arial" w:cs="Times New Roman" w:hint="default"/>
      </w:rPr>
    </w:lvl>
  </w:abstractNum>
  <w:abstractNum w:abstractNumId="5"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4" w15:restartNumberingAfterBreak="0">
    <w:nsid w:val="7D305C51"/>
    <w:multiLevelType w:val="hybridMultilevel"/>
    <w:tmpl w:val="992A7C5E"/>
    <w:lvl w:ilvl="0" w:tplc="DD2C87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20"/>
  </w:num>
  <w:num w:numId="4">
    <w:abstractNumId w:val="8"/>
  </w:num>
  <w:num w:numId="5">
    <w:abstractNumId w:val="12"/>
  </w:num>
  <w:num w:numId="6">
    <w:abstractNumId w:val="23"/>
  </w:num>
  <w:num w:numId="7">
    <w:abstractNumId w:val="17"/>
  </w:num>
  <w:num w:numId="8">
    <w:abstractNumId w:val="9"/>
  </w:num>
  <w:num w:numId="9">
    <w:abstractNumId w:val="18"/>
  </w:num>
  <w:num w:numId="10">
    <w:abstractNumId w:val="15"/>
  </w:num>
  <w:num w:numId="11">
    <w:abstractNumId w:val="7"/>
  </w:num>
  <w:num w:numId="12">
    <w:abstractNumId w:val="19"/>
  </w:num>
  <w:num w:numId="13">
    <w:abstractNumId w:val="21"/>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2"/>
  </w:num>
  <w:num w:numId="24">
    <w:abstractNumId w:val="5"/>
  </w:num>
  <w:num w:numId="25">
    <w:abstractNumId w:val="11"/>
  </w:num>
  <w:num w:numId="26">
    <w:abstractNumId w:val="10"/>
  </w:num>
  <w:num w:numId="27">
    <w:abstractNumId w:val="13"/>
  </w:num>
  <w:num w:numId="28">
    <w:abstractNumId w:val="24"/>
  </w:num>
  <w:num w:numId="29">
    <w:abstractNumId w:val="3"/>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A61"/>
    <w:rsid w:val="00015C3E"/>
    <w:rsid w:val="0001663D"/>
    <w:rsid w:val="00016D51"/>
    <w:rsid w:val="00016DAE"/>
    <w:rsid w:val="00016FCD"/>
    <w:rsid w:val="000171AD"/>
    <w:rsid w:val="0001722F"/>
    <w:rsid w:val="00017230"/>
    <w:rsid w:val="000179BC"/>
    <w:rsid w:val="00017F32"/>
    <w:rsid w:val="00020418"/>
    <w:rsid w:val="00020E94"/>
    <w:rsid w:val="00021019"/>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08B"/>
    <w:rsid w:val="000C63F4"/>
    <w:rsid w:val="000C650B"/>
    <w:rsid w:val="000C6598"/>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661"/>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000"/>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AAB"/>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16"/>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9DF"/>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1B8"/>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6A9"/>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21"/>
    <w:rsid w:val="00717B82"/>
    <w:rsid w:val="00717C87"/>
    <w:rsid w:val="00717CE8"/>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3F78"/>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1DCC"/>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0E"/>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099"/>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4BD"/>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384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38084881">
      <w:bodyDiv w:val="1"/>
      <w:marLeft w:val="0"/>
      <w:marRight w:val="0"/>
      <w:marTop w:val="0"/>
      <w:marBottom w:val="0"/>
      <w:divBdr>
        <w:top w:val="none" w:sz="0" w:space="0" w:color="auto"/>
        <w:left w:val="none" w:sz="0" w:space="0" w:color="auto"/>
        <w:bottom w:val="none" w:sz="0" w:space="0" w:color="auto"/>
        <w:right w:val="none" w:sz="0" w:space="0" w:color="auto"/>
      </w:divBdr>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8F084-D2F3-4CC9-88B8-B691C35E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2016-08-06T13:54:00Z</dcterms:created>
  <dcterms:modified xsi:type="dcterms:W3CDTF">2016-08-12T11:53:00Z</dcterms:modified>
</cp:coreProperties>
</file>